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26-121</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410</w:t>
      </w:r>
    </w:p>
    <w:p>
      <w:pPr>
        <w:spacing w:before="0" w:after="0" w:line="480"/>
        <w:ind w:left="120"/>
        <w:jc w:val="center"/>
      </w:pPr>
      <w:r>
        <w:rPr>
          <w:rFonts w:ascii="Times New Roman" w:hAnsi="Times New Roman"/>
          <w:b w:val="false"/>
          <w:i w:val="false"/>
          <w:color w:val="000000"/>
          <w:sz w:val="24"/>
        </w:rPr>
        <w:t>“State Historic Preservation Office”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 and 54 U.S.C. Subtitle II, Division 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16, 2026</w:t>
            </w:r>
            <w:r>
              <w:br/>
            </w:r>
            <w:r>
              <w:rPr>
                <w:rFonts w:ascii="Times New Roman" w:hAnsi="Times New Roman"/>
                <w:b w:val="false"/>
                <w:i w:val="false"/>
                <w:color w:val="000000"/>
                <w:sz w:val="14"/>
              </w:rPr>
              <w:t>9 to 9:15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410. The chapter will replace 223—Chapter 35, which was adopted by the State Historic Preservation Office (SHPO) prior to its alignment with the Authority in 2023 Iowa Acts, Senate File 514. 223—Chapter 35 is proposed to be rescinded as part of a concurrent rulemaking (</w:t>
      </w:r>
      <w:r>
        <w:rPr>
          <w:rFonts w:ascii="Times New Roman" w:hAnsi="Times New Roman"/>
          <w:b/>
          <w:i w:val="false"/>
          <w:color w:val="000000"/>
          <w:sz w:val="24"/>
        </w:rPr>
        <w:t>RA 26-134</w:t>
      </w:r>
      <w:r>
        <w:rPr>
          <w:rFonts w:ascii="Times New Roman" w:hAnsi="Times New Roman"/>
          <w:b w:val="false"/>
          <w:i w:val="false"/>
          <w:color w:val="000000"/>
          <w:sz w:val="24"/>
        </w:rPr>
        <w:t>, IAB 6/24/26).</w:t>
      </w:r>
    </w:p>
    <w:p>
      <w:pPr>
        <w:spacing w:before="0" w:after="0" w:line="480"/>
        <w:ind w:left="120"/>
        <w:jc w:val="both"/>
      </w:pPr>
      <w:r>
        <w:rPr>
          <w:rFonts w:ascii="Times New Roman" w:hAnsi="Times New Roman"/>
          <w:b w:val="false"/>
          <w:i w:val="false"/>
          <w:color w:val="000000"/>
          <w:sz w:val="24"/>
        </w:rPr>
        <w:t>    The new chapter describes the responsibilities and generally applicable policies of SHPO.</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interested in the responsibilities and generally applicable policies of SHPO may benefit from the improved clarity of this proposed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interested in the responsibilities and generally applicable policies of SHPO may benefit from the improved clarity of this proposed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provide the activities described in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does not impose any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of describing the organization of the SHPO.</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alternative methods because the Authority did not identify a less costly or less intrusive method.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chapter does not have a substantial impact on small business. The proposed chapter does not establish compliance or reporting requirements and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261—Chapter 410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410</w:t>
      </w:r>
    </w:p>
    <w:p>
      <w:pPr>
        <w:spacing w:before="0" w:after="0" w:line="480"/>
        <w:ind w:left="120"/>
        <w:jc w:val="center"/>
      </w:pPr>
      <w:r>
        <w:rPr>
          <w:rFonts w:ascii="Times New Roman" w:hAnsi="Times New Roman"/>
          <w:b w:val="false"/>
          <w:i w:val="false"/>
          <w:color w:val="000000"/>
          <w:sz w:val="21"/>
        </w:rPr>
        <w:t>STATE HISTORIC PRESERVATION OFFICE</w:t>
      </w:r>
    </w:p>
    <w:p>
      <w:pPr>
        <w:spacing w:before="0" w:after="0" w:line="480"/>
        <w:ind w:left="120"/>
        <w:jc w:val="both"/>
      </w:pPr>
      <w:r>
        <w:rPr>
          <w:rFonts w:ascii="Times New Roman" w:hAnsi="Times New Roman"/>
          <w:b/>
          <w:i w:val="false"/>
          <w:color w:val="000000"/>
          <w:sz w:val="24"/>
        </w:rPr>
        <w:t>261—410.1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means the National Historic Preservation Act of 1966, Public Law 89-665, 54 U.S.C. Subtitle 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council”</w:t>
      </w:r>
      <w:r>
        <w:rPr>
          <w:rFonts w:ascii="Times New Roman" w:hAnsi="Times New Roman"/>
          <w:b w:val="false"/>
          <w:i/>
          <w:color w:val="000000"/>
          <w:sz w:val="24"/>
          <w:u w:val="single"/>
        </w:rPr>
        <w:t> </w:t>
      </w:r>
      <w:r>
        <w:rPr>
          <w:rFonts w:ascii="Times New Roman" w:hAnsi="Times New Roman"/>
          <w:b w:val="false"/>
          <w:i w:val="false"/>
          <w:color w:val="000000"/>
          <w:sz w:val="24"/>
        </w:rPr>
        <w:t>means the advisory council on historic preservation established under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local government”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unit of local government that is certified by the National Park Service to carry out the purposes of the National Historic Preservation Act in accordance with Sections 101(c), 103(c) and 301 of the Act and </w:t>
      </w:r>
      <w:r>
        <w:rPr>
          <w:rFonts w:ascii="Times New Roman" w:hAnsi="Times New Roman"/>
          <w:b w:val="false"/>
          <w:i w:val="false"/>
          <w:color w:val="000000"/>
          <w:sz w:val="24"/>
        </w:rPr>
        <w:t>36 CFR Part 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preservation”</w:t>
      </w:r>
      <w:r>
        <w:rPr>
          <w:rFonts w:ascii="Times New Roman" w:hAnsi="Times New Roman"/>
          <w:b w:val="false"/>
          <w:i/>
          <w:color w:val="000000"/>
          <w:sz w:val="24"/>
          <w:u w:val="single"/>
        </w:rPr>
        <w:t> </w:t>
      </w:r>
      <w:r>
        <w:rPr>
          <w:rFonts w:ascii="Times New Roman" w:hAnsi="Times New Roman"/>
          <w:b w:val="false"/>
          <w:i w:val="false"/>
          <w:color w:val="000000"/>
          <w:sz w:val="24"/>
        </w:rPr>
        <w:t>includes identification, evaluation, recordation, documentation, curation, acquisition, protection, management, rehabilitation, restoration, stabilization, maintenance, research, interpretation, conservation, and education and training regarding the foregoing activities or any combination of the foregoing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“Investment tax credit”</w:t>
      </w:r>
      <w:r>
        <w:rPr>
          <w:rFonts w:ascii="Times New Roman" w:hAnsi="Times New Roman"/>
          <w:b w:val="false"/>
          <w:i/>
          <w:color w:val="000000"/>
          <w:sz w:val="24"/>
          <w:u w:val="single"/>
        </w:rPr>
        <w:t> </w:t>
      </w:r>
      <w:r>
        <w:rPr>
          <w:rFonts w:ascii="Times New Roman" w:hAnsi="Times New Roman"/>
          <w:b w:val="false"/>
          <w:i w:val="false"/>
          <w:color w:val="000000"/>
          <w:sz w:val="24"/>
        </w:rPr>
        <w:t>means a federal income tax credit for the substantial rehabilitation of historic buildings for commercial, industrial, and rental residential and nonresidential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color w:val="000000"/>
          <w:sz w:val="24"/>
          <w:u w:val="single"/>
        </w:rPr>
        <w:t> </w:t>
      </w:r>
      <w:r>
        <w:rPr>
          <w:rFonts w:ascii="Times New Roman" w:hAnsi="Times New Roman"/>
          <w:b w:val="false"/>
          <w:i w:val="false"/>
          <w:color w:val="000000"/>
          <w:sz w:val="24"/>
        </w:rPr>
        <w:t>means the national list of historic properties maintained by the Secretary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“Section 106”</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section of the Act that requires federal agencies to take into account the effects of the undertakings that the agencies carry out, fund, license, permit or approve on historic properties and afford the advisory council a reasonable opportunity to comment. The regulations of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define the process used by an agency to meet these responsibilities and the role of the state historic preservation officer in review and comment on these undertakings.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261—410.2</w:t>
      </w:r>
      <w:r>
        <w:rPr>
          <w:rFonts w:ascii="Times New Roman" w:hAnsi="Times New Roman"/>
          <w:b/>
          <w:i w:val="false"/>
          <w:color w:val="000000"/>
          <w:sz w:val="24"/>
        </w:rPr>
        <w:t xml:space="preserve">(15) </w:t>
      </w:r>
      <w:r>
        <w:rPr>
          <w:rFonts w:ascii="Times New Roman" w:hAnsi="Times New Roman"/>
          <w:b/>
          <w:i w:val="false"/>
          <w:color w:val="000000"/>
          <w:sz w:val="24"/>
        </w:rPr>
        <w:t xml:space="preserve">Responsibilities. </w:t>
      </w:r>
      <w:r>
        <w:rPr>
          <w:rFonts w:ascii="Times New Roman" w:hAnsi="Times New Roman"/>
          <w:b w:val="false"/>
          <w:i w:val="false"/>
          <w:color w:val="000000"/>
          <w:sz w:val="24"/>
        </w:rPr>
        <w:t>The SHPO oversees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410.2(1)</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local governments and providing grants to certified local governments. More information can be found in </w:t>
      </w:r>
      <w:hyperlink r:id="rId8">
        <w:r>
          <w:rPr>
            <w:rStyle w:val="Hyperlink"/>
            <w:rFonts w:ascii="Times New Roman" w:hAnsi="Times New Roman"/>
            <w:b w:val="false"/>
            <w:i w:val="false"/>
            <w:color w:val="000000"/>
            <w:sz w:val="24"/>
          </w:rPr>
          <w:t>261—Chapter 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410.2(2)</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and evaluation of applications for investment tax credits. More information can be found in </w:t>
      </w:r>
      <w:hyperlink r:id="rId9">
        <w:r>
          <w:rPr>
            <w:rStyle w:val="Hyperlink"/>
            <w:rFonts w:ascii="Times New Roman" w:hAnsi="Times New Roman"/>
            <w:b w:val="false"/>
            <w:i w:val="false"/>
            <w:color w:val="000000"/>
            <w:sz w:val="24"/>
          </w:rPr>
          <w:t>261—Chapter 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410.2(3)</w:t>
      </w:r>
      <w:r>
        <w:rPr>
          <w:rFonts w:ascii="Times New Roman" w:hAnsi="Times New Roman"/>
          <w:b w:val="false"/>
          <w:i w:val="false"/>
          <w:color w:val="000000"/>
          <w:sz w:val="24"/>
        </w:rPr>
        <w:t> </w:t>
      </w:r>
      <w:r>
        <w:rPr>
          <w:rFonts w:ascii="Times New Roman" w:hAnsi="Times New Roman"/>
          <w:b w:val="false"/>
          <w:i w:val="false"/>
          <w:color w:val="000000"/>
          <w:sz w:val="24"/>
        </w:rPr>
        <w:t xml:space="preserve">Processing nominations for the National Register of Historic Places and state register of historic places. More information can be found in </w:t>
      </w:r>
      <w:hyperlink r:id="rId10">
        <w:r>
          <w:rPr>
            <w:rStyle w:val="Hyperlink"/>
            <w:rFonts w:ascii="Times New Roman" w:hAnsi="Times New Roman"/>
            <w:b w:val="false"/>
            <w:i w:val="false"/>
            <w:color w:val="000000"/>
            <w:sz w:val="24"/>
          </w:rPr>
          <w:t>261—Chapter 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410.2(4)</w:t>
      </w:r>
      <w:r>
        <w:rPr>
          <w:rFonts w:ascii="Times New Roman" w:hAnsi="Times New Roman"/>
          <w:b w:val="false"/>
          <w:i w:val="false"/>
          <w:color w:val="000000"/>
          <w:sz w:val="24"/>
        </w:rPr>
        <w:t> </w:t>
      </w:r>
      <w:r>
        <w:rPr>
          <w:rFonts w:ascii="Times New Roman" w:hAnsi="Times New Roman"/>
          <w:b w:val="false"/>
          <w:i w:val="false"/>
          <w:color w:val="000000"/>
          <w:sz w:val="24"/>
        </w:rPr>
        <w:t xml:space="preserve">Survey and inventory of cultural resources. More information can be found in </w:t>
      </w:r>
      <w:hyperlink r:id="rId11">
        <w:r>
          <w:rPr>
            <w:rStyle w:val="Hyperlink"/>
            <w:rFonts w:ascii="Times New Roman" w:hAnsi="Times New Roman"/>
            <w:b w:val="false"/>
            <w:i w:val="false"/>
            <w:color w:val="000000"/>
            <w:sz w:val="24"/>
          </w:rPr>
          <w:t>223—Chapter 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410.2(5)</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and compliance for undertakings pursuant to Section 106 and its implementing regulations at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More information can be found in </w:t>
      </w:r>
      <w:hyperlink r:id="rId12">
        <w:r>
          <w:rPr>
            <w:rStyle w:val="Hyperlink"/>
            <w:rFonts w:ascii="Times New Roman" w:hAnsi="Times New Roman"/>
            <w:b w:val="false"/>
            <w:i w:val="false"/>
            <w:color w:val="000000"/>
            <w:sz w:val="24"/>
          </w:rPr>
          <w:t>261—Chapter 414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410.2(6)</w:t>
      </w:r>
      <w:r>
        <w:rPr>
          <w:rFonts w:ascii="Times New Roman" w:hAnsi="Times New Roman"/>
          <w:b w:val="false"/>
          <w:i w:val="false"/>
          <w:color w:val="000000"/>
          <w:sz w:val="24"/>
        </w:rPr>
        <w:t> </w:t>
      </w:r>
      <w:r>
        <w:rPr>
          <w:rFonts w:ascii="Times New Roman" w:hAnsi="Times New Roman"/>
          <w:b w:val="false"/>
          <w:i w:val="false"/>
          <w:color w:val="000000"/>
          <w:sz w:val="24"/>
        </w:rPr>
        <w:t xml:space="preserve">Technical assistance services provided for the development of skills or the provision of knowledge relative to the background, significance, operation, or implications of activities under the purview of the SHPO. More information can be found in rule </w:t>
      </w:r>
      <w:hyperlink r:id="rId13">
        <w:r>
          <w:rPr>
            <w:rStyle w:val="Hyperlink"/>
            <w:rFonts w:ascii="Times New Roman" w:hAnsi="Times New Roman"/>
            <w:b w:val="false"/>
            <w:i w:val="false"/>
            <w:color w:val="000000"/>
            <w:sz w:val="24"/>
          </w:rPr>
          <w:t>261—410.6</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410.2(7)</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historical preservation districts and areas of historical significance pursuant to Iowa Code chapter </w:t>
      </w:r>
      <w:hyperlink r:id="rId14">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410.2(8)</w:t>
      </w:r>
      <w:r>
        <w:rPr>
          <w:rFonts w:ascii="Times New Roman" w:hAnsi="Times New Roman"/>
          <w:b w:val="false"/>
          <w:i w:val="false"/>
          <w:color w:val="000000"/>
          <w:sz w:val="24"/>
        </w:rPr>
        <w:t> </w:t>
      </w:r>
      <w:r>
        <w:rPr>
          <w:rFonts w:ascii="Times New Roman" w:hAnsi="Times New Roman"/>
          <w:b w:val="false"/>
          <w:i w:val="false"/>
          <w:color w:val="000000"/>
          <w:sz w:val="24"/>
        </w:rPr>
        <w:t xml:space="preserve">Other duties identified in Iowa Code section </w:t>
      </w:r>
      <w:hyperlink r:id="rId15">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261—410.3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w:t>
      </w:r>
      <w:r>
        <w:rPr>
          <w:rFonts w:ascii="Times New Roman" w:hAnsi="Times New Roman"/>
          <w:b w:val="false"/>
          <w:i w:val="false"/>
          <w:color w:val="000000"/>
          <w:sz w:val="24"/>
        </w:rPr>
        <w:t>Eligibility for financial and technical assistance under the oversight of the SHPO is determined by the terms of the source of funds for the financial assistance and by applicable federal requirements.</w:t>
      </w:r>
    </w:p>
    <w:p>
      <w:pPr>
        <w:spacing w:before="0" w:after="0" w:line="480"/>
        <w:ind w:left="120"/>
        <w:jc w:val="both"/>
      </w:pPr>
      <w:r>
        <w:rPr>
          <w:rFonts w:ascii="Times New Roman" w:hAnsi="Times New Roman"/>
          <w:b/>
          <w:i w:val="false"/>
          <w:color w:val="000000"/>
          <w:sz w:val="24"/>
        </w:rPr>
        <w:t>261—410.4</w:t>
      </w:r>
      <w:r>
        <w:rPr>
          <w:rFonts w:ascii="Times New Roman" w:hAnsi="Times New Roman"/>
          <w:b/>
          <w:i w:val="false"/>
          <w:color w:val="000000"/>
          <w:sz w:val="24"/>
        </w:rPr>
        <w:t xml:space="preserve">(15) </w:t>
      </w:r>
      <w:r>
        <w:rPr>
          <w:rFonts w:ascii="Times New Roman" w:hAnsi="Times New Roman"/>
          <w:b/>
          <w:i w:val="false"/>
          <w:color w:val="000000"/>
          <w:sz w:val="24"/>
        </w:rPr>
        <w:t xml:space="preserve">Contracts and grants.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410.4(1)</w:t>
      </w:r>
      <w:r>
        <w:rPr>
          <w:rFonts w:ascii="Times New Roman" w:hAnsi="Times New Roman"/>
          <w:b w:val="false"/>
          <w:i w:val="false"/>
          <w:color w:val="000000"/>
          <w:sz w:val="24"/>
        </w:rPr>
        <w:t> </w:t>
      </w:r>
      <w:r>
        <w:rPr>
          <w:rFonts w:ascii="Times New Roman" w:hAnsi="Times New Roman"/>
          <w:b w:val="false"/>
          <w:i w:val="false"/>
          <w:color w:val="000000"/>
          <w:sz w:val="24"/>
        </w:rPr>
        <w:t>Federal contracts and grants shall be administered pursuant to the applicable federal requirements for such contracts and grants. This includes but is not limited to terms relating to match, reporting, and auditing.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410.4(2)</w:t>
      </w:r>
      <w:r>
        <w:rPr>
          <w:rFonts w:ascii="Times New Roman" w:hAnsi="Times New Roman"/>
          <w:b w:val="false"/>
          <w:i w:val="false"/>
          <w:color w:val="000000"/>
          <w:sz w:val="24"/>
        </w:rPr>
        <w:t> </w:t>
      </w:r>
      <w:r>
        <w:rPr>
          <w:rFonts w:ascii="Times New Roman" w:hAnsi="Times New Roman"/>
          <w:b w:val="false"/>
          <w:i w:val="false"/>
          <w:color w:val="000000"/>
          <w:sz w:val="24"/>
        </w:rPr>
        <w:t>Applications shall be submitted on the appropriate forms and with the requested supporting materials to be considered for funding. All applications for grants or contracts must be submitted according to instructions provided by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410.4(3)</w:t>
      </w:r>
      <w:r>
        <w:rPr>
          <w:rFonts w:ascii="Times New Roman" w:hAnsi="Times New Roman"/>
          <w:b w:val="false"/>
          <w:i w:val="false"/>
          <w:color w:val="000000"/>
          <w:sz w:val="24"/>
        </w:rPr>
        <w:t> </w:t>
      </w:r>
      <w:r>
        <w:rPr>
          <w:rFonts w:ascii="Times New Roman" w:hAnsi="Times New Roman"/>
          <w:b w:val="false"/>
          <w:i w:val="false"/>
          <w:color w:val="000000"/>
          <w:sz w:val="24"/>
        </w:rPr>
        <w:t>All applications for funding shall be reviewed by a staff person. An advisory committee may be appointed to assist in the review process. All grant or contract awards shall receive the written approval of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410.4(4)</w:t>
      </w:r>
      <w:r>
        <w:rPr>
          <w:rFonts w:ascii="Times New Roman" w:hAnsi="Times New Roman"/>
          <w:b w:val="false"/>
          <w:i w:val="false"/>
          <w:color w:val="000000"/>
          <w:sz w:val="24"/>
        </w:rPr>
        <w:t> </w:t>
      </w:r>
      <w:r>
        <w:rPr>
          <w:rFonts w:ascii="Times New Roman" w:hAnsi="Times New Roman"/>
          <w:b w:val="false"/>
          <w:i w:val="false"/>
          <w:color w:val="000000"/>
          <w:sz w:val="24"/>
        </w:rPr>
        <w:t>Evaluation criteria. The following evaluation criteria shall be applied to all grant or contract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Compliance with state and federal standards and grant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Clearly stated or specific goals that can be realistically attained within the funding period and proposed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Measurable results or products (number,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Linkage with goals and objectives embodied in state or local preservation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Past grant/contract performance of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410.4(5)</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Appeals of final agency action by the SHPO and the authority will be governed by Iowa Code chapter </w:t>
      </w:r>
      <w:hyperlink r:id="rId1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261—410.5</w:t>
      </w:r>
      <w:r>
        <w:rPr>
          <w:rFonts w:ascii="Times New Roman" w:hAnsi="Times New Roman"/>
          <w:b/>
          <w:i w:val="false"/>
          <w:color w:val="000000"/>
          <w:sz w:val="24"/>
        </w:rPr>
        <w:t xml:space="preserve">(15) </w:t>
      </w:r>
      <w:r>
        <w:rPr>
          <w:rFonts w:ascii="Times New Roman" w:hAnsi="Times New Roman"/>
          <w:b/>
          <w:i w:val="false"/>
          <w:color w:val="000000"/>
          <w:sz w:val="24"/>
        </w:rPr>
        <w:t xml:space="preserve">Advisory committees.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410.5(1)</w:t>
      </w:r>
      <w:r>
        <w:rPr>
          <w:rFonts w:ascii="Times New Roman" w:hAnsi="Times New Roman"/>
          <w:b w:val="false"/>
          <w:i w:val="false"/>
          <w:color w:val="000000"/>
          <w:sz w:val="24"/>
        </w:rPr>
        <w:t> </w:t>
      </w:r>
      <w:r>
        <w:rPr>
          <w:rFonts w:ascii="Times New Roman" w:hAnsi="Times New Roman"/>
          <w:b w:val="false"/>
          <w:i w:val="false"/>
          <w:color w:val="000000"/>
          <w:sz w:val="24"/>
        </w:rPr>
        <w:t>Advisory committees may be appointed by the state historic preservation officer for the purpose of conducting peer reviews of grant products, reviewing and rating grant applications for funding, nominating historic resources to the National Register of Historic Places, and providing other professional input.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410.5(2)</w:t>
      </w:r>
      <w:r>
        <w:rPr>
          <w:rFonts w:ascii="Times New Roman" w:hAnsi="Times New Roman"/>
          <w:b w:val="false"/>
          <w:i w:val="false"/>
          <w:color w:val="000000"/>
          <w:sz w:val="24"/>
        </w:rPr>
        <w:t> </w:t>
      </w:r>
      <w:r>
        <w:rPr>
          <w:rFonts w:ascii="Times New Roman" w:hAnsi="Times New Roman"/>
          <w:b w:val="false"/>
          <w:i w:val="false"/>
          <w:color w:val="000000"/>
          <w:sz w:val="24"/>
        </w:rPr>
        <w:t>Advisory committees may be permanent or temporary. The term of office on temporary advisory committees shall be determined by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410.5(3)</w:t>
      </w:r>
      <w:r>
        <w:rPr>
          <w:rFonts w:ascii="Times New Roman" w:hAnsi="Times New Roman"/>
          <w:b w:val="false"/>
          <w:i w:val="false"/>
          <w:color w:val="000000"/>
          <w:sz w:val="24"/>
        </w:rPr>
        <w:t> </w:t>
      </w:r>
      <w:r>
        <w:rPr>
          <w:rFonts w:ascii="Times New Roman" w:hAnsi="Times New Roman"/>
          <w:b w:val="false"/>
          <w:i w:val="false"/>
          <w:color w:val="000000"/>
          <w:sz w:val="24"/>
        </w:rPr>
        <w:t>Recommendations by all advisory committees shall be nonbinding on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410.5(4)</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an advisory committee shall not submit an application for a grant or contract from the authority. Action by an advisory committee member shall be in accordance with Iowa Code chapter </w:t>
      </w:r>
      <w:hyperlink r:id="rId17">
        <w:r>
          <w:rPr>
            <w:rStyle w:val="Hyperlink"/>
            <w:rFonts w:ascii="Times New Roman" w:hAnsi="Times New Roman"/>
            <w:b w:val="false"/>
            <w:i w:val="false"/>
            <w:color w:val="000000"/>
            <w:sz w:val="24"/>
          </w:rPr>
          <w:t>68B</w:t>
        </w:r>
      </w:hyperlink>
      <w:r>
        <w:rPr>
          <w:rFonts w:ascii="Times New Roman" w:hAnsi="Times New Roman"/>
          <w:b w:val="false"/>
          <w:i w:val="false"/>
          <w:color w:val="000000"/>
          <w:sz w:val="24"/>
        </w:rPr>
        <w:t>. Members of an advisory committee who have a conflict of interest shall disclose the interest to the authority. The affected member shall not participate in any discussion or action by the board with and shall be disqualified from voting with respect to the subject of the conflict of interest. The quorum of the committee shall not be changed as the result of a conflict-of-interest disqualification.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410.5(5)</w:t>
      </w:r>
      <w:r>
        <w:rPr>
          <w:rFonts w:ascii="Times New Roman" w:hAnsi="Times New Roman"/>
          <w:b w:val="false"/>
          <w:i w:val="false"/>
          <w:color w:val="000000"/>
          <w:sz w:val="24"/>
        </w:rPr>
        <w:t> </w:t>
      </w:r>
      <w:r>
        <w:rPr>
          <w:rFonts w:ascii="Times New Roman" w:hAnsi="Times New Roman"/>
          <w:b w:val="false"/>
          <w:i w:val="false"/>
          <w:color w:val="000000"/>
          <w:sz w:val="24"/>
        </w:rPr>
        <w:t>Members of advisory committees may be reimbursed for travel, lodging, and expenses at the discretion of the state historic preservation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410.5(6)</w:t>
      </w:r>
      <w:r>
        <w:rPr>
          <w:rFonts w:ascii="Times New Roman" w:hAnsi="Times New Roman"/>
          <w:b w:val="false"/>
          <w:i w:val="false"/>
          <w:color w:val="000000"/>
          <w:sz w:val="24"/>
        </w:rPr>
        <w:t> </w:t>
      </w:r>
      <w:r>
        <w:rPr>
          <w:rFonts w:ascii="Times New Roman" w:hAnsi="Times New Roman"/>
          <w:b w:val="false"/>
          <w:i w:val="false"/>
          <w:color w:val="000000"/>
          <w:sz w:val="24"/>
        </w:rPr>
        <w:t xml:space="preserve">An Iowa state national register of historic places nominations review committee is created as a permanent advisory committee. The committee is described in </w:t>
      </w:r>
      <w:hyperlink r:id="rId18">
        <w:r>
          <w:rPr>
            <w:rStyle w:val="Hyperlink"/>
            <w:rFonts w:ascii="Times New Roman" w:hAnsi="Times New Roman"/>
            <w:b w:val="false"/>
            <w:i w:val="false"/>
            <w:color w:val="000000"/>
            <w:sz w:val="24"/>
          </w:rPr>
          <w:t>261—Chapter 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261—410.6</w:t>
      </w:r>
      <w:r>
        <w:rPr>
          <w:rFonts w:ascii="Times New Roman" w:hAnsi="Times New Roman"/>
          <w:b/>
          <w:i w:val="false"/>
          <w:color w:val="000000"/>
          <w:sz w:val="24"/>
        </w:rPr>
        <w:t xml:space="preserve">(15) </w:t>
      </w:r>
      <w:r>
        <w:rPr>
          <w:rFonts w:ascii="Times New Roman" w:hAnsi="Times New Roman"/>
          <w:b/>
          <w:i w:val="false"/>
          <w:color w:val="000000"/>
          <w:sz w:val="24"/>
        </w:rPr>
        <w:t xml:space="preserve">Technical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410.6(1)</w:t>
      </w:r>
      <w:r>
        <w:rPr>
          <w:rFonts w:ascii="Times New Roman" w:hAnsi="Times New Roman"/>
          <w:b w:val="false"/>
          <w:i w:val="false"/>
          <w:color w:val="000000"/>
          <w:sz w:val="24"/>
        </w:rPr>
        <w:t> </w:t>
      </w:r>
      <w:r>
        <w:rPr>
          <w:rFonts w:ascii="Times New Roman" w:hAnsi="Times New Roman"/>
          <w:b w:val="false"/>
          <w:i w:val="false"/>
          <w:color w:val="000000"/>
          <w:sz w:val="24"/>
        </w:rPr>
        <w:t>Technical assistance is provided as resources permit. First priority is given to projects relating to the National Register of Historic Places, the Certified Local Government program, or a local preservation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410.6(2)</w:t>
      </w:r>
      <w:r>
        <w:rPr>
          <w:rFonts w:ascii="Times New Roman" w:hAnsi="Times New Roman"/>
          <w:b w:val="false"/>
          <w:i w:val="false"/>
          <w:color w:val="000000"/>
          <w:sz w:val="24"/>
        </w:rPr>
        <w:t> </w:t>
      </w:r>
      <w:r>
        <w:rPr>
          <w:rFonts w:ascii="Times New Roman" w:hAnsi="Times New Roman"/>
          <w:b w:val="false"/>
          <w:i w:val="false"/>
          <w:color w:val="000000"/>
          <w:sz w:val="24"/>
        </w:rPr>
        <w:t>Technical assistance may be provided in these four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Planning assistance. On-site or other forms of consultation in the preparation and review of a community or county historic preservation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Project monitoring. On-site or other forms of project monitoring and facilitation.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Local ordinance review and local historic district organization. In accordance with Iowa Code section </w:t>
      </w:r>
      <w:hyperlink r:id="rId19">
        <w:r>
          <w:rPr>
            <w:rStyle w:val="Hyperlink"/>
            <w:rFonts w:ascii="Times New Roman" w:hAnsi="Times New Roman"/>
            <w:b w:val="false"/>
            <w:i w:val="false"/>
            <w:color w:val="000000"/>
            <w:sz w:val="24"/>
          </w:rPr>
          <w:t>15.459(4)</w:t>
        </w:r>
      </w:hyperlink>
      <w:r>
        <w:rPr>
          <w:rFonts w:ascii="Times New Roman" w:hAnsi="Times New Roman"/>
          <w:b w:val="false"/>
          <w:i w:val="false"/>
          <w:color w:val="000000"/>
          <w:sz w:val="24"/>
        </w:rPr>
        <w:t>, the local commission shall submit the draft or final ordinance for review and approval by staff. An existing commission shall similarly submit proposed local historic district designations for review and approval to staff. Comments by the appropriate staff shall be supplied within 45 days from the receipt of complete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technical assistance. Technical assistance in the physical preservation of properties is provided by staff. This service is provided on an individual-request-and-time-available basis. The services provided by the staff shall not substitute for private professional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410.6(3)</w:t>
      </w:r>
      <w:r>
        <w:rPr>
          <w:rFonts w:ascii="Times New Roman" w:hAnsi="Times New Roman"/>
          <w:b w:val="false"/>
          <w:i w:val="false"/>
          <w:color w:val="000000"/>
          <w:sz w:val="24"/>
        </w:rPr>
        <w:t> </w:t>
      </w:r>
      <w:r>
        <w:rPr>
          <w:rFonts w:ascii="Times New Roman" w:hAnsi="Times New Roman"/>
          <w:b w:val="false"/>
          <w:i w:val="false"/>
          <w:color w:val="000000"/>
          <w:sz w:val="24"/>
        </w:rPr>
        <w:t>All inquiries and requests may be directed as instructed on the authority’s website.</w:t>
      </w:r>
    </w:p>
    <w:p>
      <w:pPr>
        <w:spacing w:before="210" w:after="0" w:line="480"/>
        <w:ind w:left="120"/>
        <w:jc w:val="both"/>
      </w:pPr>
      <w:r>
        <w:rPr>
          <w:rFonts w:ascii="Times New Roman" w:hAnsi="Times New Roman"/>
          <w:b/>
          <w:i w:val="false"/>
          <w:color w:val="000000"/>
          <w:sz w:val="24"/>
        </w:rPr>
        <w:t>261—410.7</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in this chapter are to the laws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0">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 Division A.</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21.pdf" Type="http://schemas.openxmlformats.org/officeDocument/2006/relationships/hyperlink" Id="rId7"/>
    <Relationship TargetMode="External" Target="https://www.legis.iowa.gov/docs/iac/chapter/261.417.pdf" Type="http://schemas.openxmlformats.org/officeDocument/2006/relationships/hyperlink" Id="rId8"/>
    <Relationship TargetMode="External" Target="https://www.legis.iowa.gov/docs/iac/chapter/261.411.pdf" Type="http://schemas.openxmlformats.org/officeDocument/2006/relationships/hyperlink" Id="rId9"/>
    <Relationship TargetMode="External" Target="https://www.legis.iowa.gov/docs/iac/chapter/261.412.pdf" Type="http://schemas.openxmlformats.org/officeDocument/2006/relationships/hyperlink" Id="rId10"/>
    <Relationship TargetMode="External" Target="https://www.legis.iowa.gov/docs/iac/chapter/223.41.pdf" Type="http://schemas.openxmlformats.org/officeDocument/2006/relationships/hyperlink" Id="rId11"/>
    <Relationship TargetMode="External" Target="https://www.legis.iowa.gov/docs/iac/chapter/261.414.pdf" Type="http://schemas.openxmlformats.org/officeDocument/2006/relationships/hyperlink" Id="rId12"/>
    <Relationship TargetMode="External" Target="https://www.legis.iowa.gov/docs/iac/rule/261.410.6.pdf" Type="http://schemas.openxmlformats.org/officeDocument/2006/relationships/hyperlink" Id="rId13"/>
    <Relationship TargetMode="External" Target="https://www.legis.iowa.gov/docs/ico/chapter/15.pdf" Type="http://schemas.openxmlformats.org/officeDocument/2006/relationships/hyperlink" Id="rId14"/>
    <Relationship TargetMode="External" Target="https://www.legis.iowa.gov/docs/ico/chapter/15.121.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68B.pdf" Type="http://schemas.openxmlformats.org/officeDocument/2006/relationships/hyperlink" Id="rId17"/>
    <Relationship TargetMode="External" Target="https://www.legis.iowa.gov/docs/iac/chapter/261.412.pdf" Type="http://schemas.openxmlformats.org/officeDocument/2006/relationships/hyperlink" Id="rId18"/>
    <Relationship TargetMode="External" Target="https://www.legis.iowa.gov/docs/ico/chapter/15.459.pdf" Type="http://schemas.openxmlformats.org/officeDocument/2006/relationships/hyperlink" Id="rId19"/>
    <Relationship TargetMode="External" Target="https://www.legis.iowa.gov/docs/ico/chapter/15.121.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